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AB" w:rsidRDefault="007B6AAB" w:rsidP="007B6AA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kern w:val="36"/>
          <w:sz w:val="28"/>
          <w:szCs w:val="28"/>
          <w:lang w:eastAsia="ru-RU"/>
        </w:rPr>
        <w:t>Обеспечение поручительства по кредитам и по банковской гарантии в Новосибирске и области</w:t>
      </w:r>
    </w:p>
    <w:p w:rsidR="007B6AAB" w:rsidRPr="007B6AAB" w:rsidRDefault="007B6AAB" w:rsidP="007B6AAB">
      <w:pPr>
        <w:pStyle w:val="a5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>
        <w:rPr>
          <w:color w:val="363636"/>
          <w:lang w:eastAsia="ru-RU"/>
        </w:rPr>
        <w:tab/>
      </w: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Поручительство - это гарантийное обязательство субъекта (поручителя) перед банком в том, что другой субъект (должник) выполнит свои обязательства перед данной финансовой организацией.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С юридической точки зрения, поручительство как форма гарантии обеспечения исполнения обязательств необходимо должникам по кредитам и заёмным банковским операциям.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Поручительство является дополнительным </w:t>
      </w:r>
      <w:hyperlink r:id="rId5" w:history="1">
        <w:r w:rsidRPr="007B6AAB">
          <w:rPr>
            <w:rFonts w:ascii="Times New Roman" w:hAnsi="Times New Roman" w:cs="Times New Roman"/>
            <w:color w:val="008BCD"/>
            <w:sz w:val="28"/>
            <w:szCs w:val="28"/>
            <w:u w:val="single"/>
            <w:lang w:eastAsia="ru-RU"/>
          </w:rPr>
          <w:t>обеспечением по кредиту</w:t>
        </w:r>
      </w:hyperlink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и удовлетворяет интересам банка (кредитора), поскольку снижает вероятность неисполнения должником своих обязательств.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По этой же причине поручительство является формой господдержки малого бизнеса и обеспечением экономической состоятельности его субъектов.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Поручительство по кредиту носит характер дополнительного обязательства по отношению к основному.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Важно отметить, что предоставление банковской гарантии, в отличие от первого, не является дополнительным обязательством.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sz w:val="28"/>
          <w:szCs w:val="28"/>
          <w:lang w:eastAsia="ru-RU"/>
        </w:rPr>
        <w:t>Условия предоставления поручительства по кредитным банковским обязательствам и гарантиям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Рассчитывать на поручительство Фонда как форму обеспечения или гарантии соблюдения банковских обязательств могут следующие субъекты малого и среднего бизнеса: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индивидуальные предприниматели;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крестьянско-фермерские хозяйства;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общества с ограниченной ответственностью.</w:t>
      </w:r>
    </w:p>
    <w:tbl>
      <w:tblPr>
        <w:tblW w:w="51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60"/>
        <w:gridCol w:w="2497"/>
        <w:gridCol w:w="1682"/>
        <w:gridCol w:w="1682"/>
      </w:tblGrid>
      <w:tr w:rsidR="007B6AAB" w:rsidRPr="007B6AAB" w:rsidTr="007B6AAB">
        <w:trPr>
          <w:trHeight w:val="320"/>
          <w:tblCellSpacing w:w="0" w:type="dxa"/>
        </w:trPr>
        <w:tc>
          <w:tcPr>
            <w:tcW w:w="0" w:type="auto"/>
            <w:shd w:val="clear" w:color="auto" w:fill="D4EDFF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Статус </w:t>
            </w: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br/>
              <w:t>Показатели</w:t>
            </w:r>
          </w:p>
        </w:tc>
        <w:tc>
          <w:tcPr>
            <w:tcW w:w="0" w:type="auto"/>
            <w:shd w:val="clear" w:color="auto" w:fill="D4EDFF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Микропредприятие</w:t>
            </w:r>
          </w:p>
        </w:tc>
        <w:tc>
          <w:tcPr>
            <w:tcW w:w="0" w:type="auto"/>
            <w:shd w:val="clear" w:color="auto" w:fill="D4EDFF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Малое предприятие</w:t>
            </w:r>
          </w:p>
        </w:tc>
        <w:tc>
          <w:tcPr>
            <w:tcW w:w="0" w:type="auto"/>
            <w:shd w:val="clear" w:color="auto" w:fill="D4EDFF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Среднее предприятие</w:t>
            </w:r>
          </w:p>
        </w:tc>
      </w:tr>
      <w:tr w:rsidR="007B6AAB" w:rsidRPr="007B6AAB" w:rsidTr="007B6AAB">
        <w:trPr>
          <w:trHeight w:val="320"/>
          <w:tblCellSpacing w:w="0" w:type="dxa"/>
        </w:trPr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Среднесписочная численность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15 человек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100 человек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250 человек</w:t>
            </w:r>
          </w:p>
        </w:tc>
      </w:tr>
      <w:tr w:rsidR="007B6AAB" w:rsidRPr="007B6AAB" w:rsidTr="007B6AAB">
        <w:trPr>
          <w:trHeight w:val="320"/>
          <w:tblCellSpacing w:w="0" w:type="dxa"/>
        </w:trPr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Выручка за предыдущий год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До 120 млн. руб.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До 800 млн. руб.</w:t>
            </w:r>
          </w:p>
        </w:tc>
        <w:tc>
          <w:tcPr>
            <w:tcW w:w="0" w:type="auto"/>
            <w:tcMar>
              <w:top w:w="0" w:type="dxa"/>
              <w:left w:w="160" w:type="dxa"/>
              <w:bottom w:w="0" w:type="dxa"/>
              <w:right w:w="0" w:type="dxa"/>
            </w:tcMar>
            <w:vAlign w:val="center"/>
            <w:hideMark/>
          </w:tcPr>
          <w:p w:rsidR="007B6AAB" w:rsidRPr="007B6AAB" w:rsidRDefault="007B6AAB" w:rsidP="007B6AAB">
            <w:pPr>
              <w:pStyle w:val="a5"/>
              <w:jc w:val="both"/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</w:pPr>
            <w:r w:rsidRPr="007B6AAB">
              <w:rPr>
                <w:rFonts w:ascii="Times New Roman" w:hAnsi="Times New Roman" w:cs="Times New Roman"/>
                <w:color w:val="363636"/>
                <w:sz w:val="28"/>
                <w:szCs w:val="28"/>
                <w:lang w:eastAsia="ru-RU"/>
              </w:rPr>
              <w:t>До 2 млрд. руб.</w:t>
            </w:r>
          </w:p>
        </w:tc>
      </w:tr>
    </w:tbl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b/>
          <w:color w:val="363636"/>
          <w:sz w:val="28"/>
          <w:szCs w:val="28"/>
          <w:lang w:eastAsia="ru-RU"/>
        </w:rPr>
        <w:t>Поручительство Фонда как гарантия обеспечения исполнения обязательств перед банком предоставляется перечисленным субъектам малого и среднего бизнеса на следующих условиях</w:t>
      </w: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: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 обязательное наличие компании в </w:t>
      </w:r>
      <w:hyperlink r:id="rId6" w:tgtFrame="_blank" w:history="1">
        <w:r w:rsidRPr="007B6AAB">
          <w:rPr>
            <w:rFonts w:ascii="Times New Roman" w:hAnsi="Times New Roman" w:cs="Times New Roman"/>
            <w:color w:val="008BCD"/>
            <w:sz w:val="28"/>
            <w:szCs w:val="28"/>
            <w:u w:val="single"/>
            <w:lang w:eastAsia="ru-RU"/>
          </w:rPr>
          <w:t>Едином реестре</w:t>
        </w:r>
      </w:hyperlink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 субъектов малого и среднего предпринимательства;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 статус субъекта малого или среднего предпринимательства подтвержден документально;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 на момент подачи прошения о поручительстве при сотрудничестве с банком, субъект осуществляет предпринимательскую деятельность на территории Новосибирской области не менее 6 месяцев;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- субъект в течение 1 года до момента подачи заявки на поручительство не нарушал условий других банковских договоров и гарантий в процессе предпринимательской деятельности и взаимодействия с другими банками;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color w:val="363636"/>
          <w:sz w:val="28"/>
          <w:szCs w:val="28"/>
          <w:lang w:eastAsia="ru-RU"/>
        </w:rPr>
      </w:pPr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lastRenderedPageBreak/>
        <w:t>- уставной капитал малого или среднего предприятия не более чем на 25% состоит из средств, предоставленных органами муниципальной или региональной власти</w:t>
      </w:r>
      <w:proofErr w:type="gramStart"/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,с</w:t>
      </w:r>
      <w:proofErr w:type="gramEnd"/>
      <w:r w:rsidRPr="007B6AAB">
        <w:rPr>
          <w:rFonts w:ascii="Times New Roman" w:hAnsi="Times New Roman" w:cs="Times New Roman"/>
          <w:color w:val="363636"/>
          <w:sz w:val="28"/>
          <w:szCs w:val="28"/>
          <w:lang w:eastAsia="ru-RU"/>
        </w:rPr>
        <w:t>уммарная доля участия иностранных юридических лиц, суммарная доля участия, принадлежащая одному или нескольким юридическим лицам , не являющимся субъектами малого и среднего предпринимательства, не должны превышать 49% каждая.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Поручительство Фонда как гарантия соблюдения банковских обязательств, предоставляется на сумму от 200 тысяч рублей и на срок от 3 месяцев.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 Максимальный совокупный лимит поручительства Фонда составляет: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на 1 заемщика 100 млн. рублей;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для группы компаний 150 млн. рублей.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С Фондом сотрудничают банки Новосибирска и области. Все эти банковские учреждения получили право партнерства после прохождения профильного конкурса.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7B6AAB">
          <w:rPr>
            <w:rFonts w:ascii="Times New Roman" w:hAnsi="Times New Roman" w:cs="Times New Roman"/>
            <w:sz w:val="28"/>
            <w:szCs w:val="28"/>
          </w:rPr>
          <w:t>Поручительство Фонда по Программе 6.5 Корпорации МСП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«Обеспечение действующих кредитов»</w:t>
        </w:r>
      </w:hyperlink>
      <w:r w:rsidRPr="007B6AAB">
        <w:rPr>
          <w:rFonts w:ascii="Times New Roman" w:hAnsi="Times New Roman" w:cs="Times New Roman"/>
          <w:sz w:val="28"/>
          <w:szCs w:val="28"/>
        </w:rPr>
        <w:t> 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«Развитие»</w:t>
        </w:r>
      </w:hyperlink>
      <w:r w:rsidRPr="007B6AAB">
        <w:rPr>
          <w:rFonts w:ascii="Times New Roman" w:hAnsi="Times New Roman" w:cs="Times New Roman"/>
          <w:sz w:val="28"/>
          <w:szCs w:val="28"/>
        </w:rPr>
        <w:t> 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Поручительства до 60%</w:t>
        </w:r>
      </w:hyperlink>
      <w:r w:rsidRPr="007B6AAB">
        <w:rPr>
          <w:rFonts w:ascii="Times New Roman" w:hAnsi="Times New Roman" w:cs="Times New Roman"/>
          <w:sz w:val="28"/>
          <w:szCs w:val="28"/>
        </w:rPr>
        <w:t> 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Поручительства до 70%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поручительства по лизингу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7B6AAB">
          <w:rPr>
            <w:rFonts w:ascii="Times New Roman" w:hAnsi="Times New Roman" w:cs="Times New Roman"/>
            <w:sz w:val="28"/>
            <w:szCs w:val="28"/>
          </w:rPr>
          <w:t>Кредит на развитие бизнеса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7B6AAB">
          <w:rPr>
            <w:rFonts w:ascii="Times New Roman" w:hAnsi="Times New Roman" w:cs="Times New Roman"/>
            <w:sz w:val="28"/>
            <w:szCs w:val="28"/>
          </w:rPr>
          <w:t>Государственная поддержка бизнеса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«Поручительство по банковской гарантии»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«Поручительство по банковской гарантии, заключаемой в рамках 44-ФЗ и 223-ФЗ»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Pr="007B6AAB">
          <w:rPr>
            <w:rFonts w:ascii="Times New Roman" w:hAnsi="Times New Roman" w:cs="Times New Roman"/>
            <w:sz w:val="28"/>
            <w:szCs w:val="28"/>
          </w:rPr>
          <w:t>Программа «Совместные сделки с Корпорацией МСП и МСП Банком»</w:t>
        </w:r>
      </w:hyperlink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B6AAB">
        <w:rPr>
          <w:rFonts w:ascii="Times New Roman" w:hAnsi="Times New Roman" w:cs="Times New Roman"/>
          <w:sz w:val="28"/>
          <w:szCs w:val="28"/>
        </w:rPr>
        <w:t>Поручительство Фонда, как форма обеспечения или гарантии соблюдения банковских обязательств является платной услугой. Стоимость услуги составляет 1%  </w:t>
      </w:r>
      <w:proofErr w:type="gramStart"/>
      <w:r w:rsidRPr="007B6AAB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7B6AAB">
        <w:rPr>
          <w:rFonts w:ascii="Times New Roman" w:hAnsi="Times New Roman" w:cs="Times New Roman"/>
          <w:sz w:val="28"/>
          <w:szCs w:val="28"/>
        </w:rPr>
        <w:t xml:space="preserve"> от заявленной суммы поручительства.</w:t>
      </w: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B6AAB" w:rsidRPr="007B6AAB" w:rsidRDefault="007B6AAB" w:rsidP="007B6AA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AAB">
        <w:rPr>
          <w:rFonts w:ascii="Times New Roman" w:hAnsi="Times New Roman" w:cs="Times New Roman"/>
          <w:sz w:val="28"/>
          <w:szCs w:val="28"/>
        </w:rPr>
        <w:t>Согласно п. 4 ст. 14 Федерального закона от 24 июля 2007 г. N 209 - ФЗ "О развитии малого и среднего предпринимательства в Российской Федерации", финансовая поддержка субъектов малого и среднего предпринимательства, предусмотренная статьей 17 настоящего Федерального закона, не может оказываться субъектам малого и среднего предпринимательства, осуществляющим производство и (или) реализацию подакцизных товаров, а также добычу и (или) реализацию полезных ископаемых</w:t>
      </w:r>
      <w:proofErr w:type="gramEnd"/>
      <w:r w:rsidRPr="007B6AAB">
        <w:rPr>
          <w:rFonts w:ascii="Times New Roman" w:hAnsi="Times New Roman" w:cs="Times New Roman"/>
          <w:sz w:val="28"/>
          <w:szCs w:val="28"/>
        </w:rPr>
        <w:t>, за исключением общераспространённых полезных ископаемых. </w:t>
      </w:r>
    </w:p>
    <w:p w:rsidR="007B6AAB" w:rsidRDefault="007B6AAB"/>
    <w:p w:rsidR="007B6AAB" w:rsidRDefault="007B6AAB"/>
    <w:p w:rsidR="007B6AAB" w:rsidRPr="007B6AAB" w:rsidRDefault="007B6AAB">
      <w:pPr>
        <w:rPr>
          <w:b/>
        </w:rPr>
      </w:pPr>
    </w:p>
    <w:p w:rsidR="007B6AAB" w:rsidRDefault="007B6AAB"/>
    <w:sectPr w:rsidR="007B6AAB" w:rsidSect="008B6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B5FAF"/>
    <w:multiLevelType w:val="multilevel"/>
    <w:tmpl w:val="0262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DE0E8C"/>
    <w:multiLevelType w:val="multilevel"/>
    <w:tmpl w:val="6374B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787582"/>
    <w:multiLevelType w:val="multilevel"/>
    <w:tmpl w:val="8B0CD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6291"/>
    <w:rsid w:val="007B6AAB"/>
    <w:rsid w:val="008B6EA5"/>
    <w:rsid w:val="00D01496"/>
    <w:rsid w:val="00D76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A5"/>
  </w:style>
  <w:style w:type="paragraph" w:styleId="1">
    <w:name w:val="heading 1"/>
    <w:basedOn w:val="a"/>
    <w:link w:val="10"/>
    <w:uiPriority w:val="9"/>
    <w:qFormat/>
    <w:rsid w:val="007B6A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6A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6A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6A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B6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B6AAB"/>
    <w:rPr>
      <w:color w:val="0000FF"/>
      <w:u w:val="single"/>
    </w:rPr>
  </w:style>
  <w:style w:type="paragraph" w:styleId="a5">
    <w:name w:val="No Spacing"/>
    <w:uiPriority w:val="1"/>
    <w:qFormat/>
    <w:rsid w:val="007B6A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0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msp.ru/surety/programma-obespechenie-dejstvujushhih-kreditov/" TargetMode="External"/><Relationship Id="rId13" Type="http://schemas.openxmlformats.org/officeDocument/2006/relationships/hyperlink" Target="http://www.fondmsp.ru/surety/credit-for-development-of-business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ondmsp.ru/surety/poruchitelstvo-fonda-programma6.php" TargetMode="External"/><Relationship Id="rId12" Type="http://schemas.openxmlformats.org/officeDocument/2006/relationships/hyperlink" Target="http://www.fondmsp.ru/surety/the-program-of-guarantee-under-the-leasing/" TargetMode="External"/><Relationship Id="rId17" Type="http://schemas.openxmlformats.org/officeDocument/2006/relationships/hyperlink" Target="http://www.fondmsp.ru/surety/programma-sovmestnye-sdelki-s-korporaciej-msp-i-msp-bank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ondmsp.ru/surety/programma-poruchitelstvo-po-bankovsko-garantii-zakljuchaemoj-v-ramkah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nalog.ru/rn54/related_activities/regbusiness/" TargetMode="External"/><Relationship Id="rId11" Type="http://schemas.openxmlformats.org/officeDocument/2006/relationships/hyperlink" Target="http://www.fondmsp.ru/surety/the-program-of-guarantee-up-to-70/" TargetMode="External"/><Relationship Id="rId5" Type="http://schemas.openxmlformats.org/officeDocument/2006/relationships/hyperlink" Target="http://www.fondmsp.ru/obespechenie-vozratnosti-kredita.php" TargetMode="External"/><Relationship Id="rId15" Type="http://schemas.openxmlformats.org/officeDocument/2006/relationships/hyperlink" Target="http://www.fondmsp.ru/surety/programma-poruchitelstvo-po-bankovskoj-garantii/" TargetMode="External"/><Relationship Id="rId10" Type="http://schemas.openxmlformats.org/officeDocument/2006/relationships/hyperlink" Target="http://www.fondmsp.ru/surety/the-program-of-guarantee-up-to-6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ondmsp.ru/surety/programma-razvitie/" TargetMode="External"/><Relationship Id="rId14" Type="http://schemas.openxmlformats.org/officeDocument/2006/relationships/hyperlink" Target="http://www.fondmsp.ru/surety/state-support-of-busine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808</Words>
  <Characters>4611</Characters>
  <Application>Microsoft Office Word</Application>
  <DocSecurity>0</DocSecurity>
  <Lines>38</Lines>
  <Paragraphs>10</Paragraphs>
  <ScaleCrop>false</ScaleCrop>
  <Company>Home</Company>
  <LinksUpToDate>false</LinksUpToDate>
  <CharactersWithSpaces>5409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2017-10-06T06:21:00Z</dcterms:created>
  <dcterms:modified xsi:type="dcterms:W3CDTF">2017-10-10T05:05:00Z</dcterms:modified>
</cp:coreProperties>
</file>